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00" w:rsidRPr="00CA77A5" w:rsidRDefault="00D56167" w:rsidP="00D56167">
      <w:pPr>
        <w:jc w:val="right"/>
        <w:rPr>
          <w:rFonts w:cs="Times New Roman"/>
        </w:rPr>
      </w:pPr>
      <w:r w:rsidRPr="00CA77A5">
        <w:rPr>
          <w:rFonts w:cs="Times New Roman"/>
        </w:rPr>
        <w:t xml:space="preserve">Anexa </w:t>
      </w:r>
      <w:r w:rsidR="00CA77A5" w:rsidRPr="00CA77A5">
        <w:rPr>
          <w:rFonts w:cs="Times New Roman"/>
        </w:rPr>
        <w:t>8</w:t>
      </w:r>
    </w:p>
    <w:p w:rsidR="00727492" w:rsidRPr="00CA77A5" w:rsidRDefault="00727492" w:rsidP="00D56167">
      <w:pPr>
        <w:jc w:val="right"/>
        <w:rPr>
          <w:rFonts w:cs="Times New Roman"/>
        </w:rPr>
      </w:pPr>
    </w:p>
    <w:p w:rsidR="00C11A62" w:rsidRPr="00CA77A5" w:rsidRDefault="00C11A62" w:rsidP="00727492">
      <w:pPr>
        <w:rPr>
          <w:rFonts w:cs="Times New Roman"/>
        </w:rPr>
      </w:pPr>
    </w:p>
    <w:tbl>
      <w:tblPr>
        <w:tblW w:w="5000" w:type="pct"/>
        <w:tblLook w:val="04A0"/>
      </w:tblPr>
      <w:tblGrid>
        <w:gridCol w:w="1152"/>
        <w:gridCol w:w="8090"/>
      </w:tblGrid>
      <w:tr w:rsidR="004A4ABB" w:rsidRPr="00CA77A5" w:rsidTr="004A4ABB">
        <w:trPr>
          <w:trHeight w:val="293"/>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ABB" w:rsidRPr="00CA77A5" w:rsidRDefault="004A4ABB" w:rsidP="004A4ABB">
            <w:pPr>
              <w:jc w:val="center"/>
              <w:rPr>
                <w:rFonts w:eastAsia="Times New Roman" w:cs="Times New Roman"/>
                <w:color w:val="000000"/>
              </w:rPr>
            </w:pPr>
            <w:r w:rsidRPr="00CA77A5">
              <w:rPr>
                <w:rFonts w:eastAsia="Times New Roman" w:cs="Times New Roman"/>
                <w:color w:val="000000"/>
                <w:sz w:val="22"/>
              </w:rPr>
              <w:t>Grila de evaluare tehnică și financiară</w:t>
            </w:r>
          </w:p>
        </w:tc>
      </w:tr>
      <w:tr w:rsidR="004A4ABB" w:rsidRPr="00CA77A5" w:rsidTr="004A4ABB">
        <w:trPr>
          <w:trHeight w:val="293"/>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4A4ABB" w:rsidRPr="00CA77A5" w:rsidRDefault="004A4ABB" w:rsidP="004A4ABB">
            <w:pPr>
              <w:jc w:val="left"/>
              <w:rPr>
                <w:rFonts w:eastAsia="Times New Roman" w:cs="Times New Roman"/>
                <w:color w:val="000000"/>
              </w:rPr>
            </w:pPr>
          </w:p>
        </w:tc>
      </w:tr>
      <w:tr w:rsidR="004A4ABB" w:rsidRPr="00CA77A5" w:rsidTr="004A4ABB">
        <w:trPr>
          <w:trHeight w:val="288"/>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4A4ABB" w:rsidRPr="00CA77A5" w:rsidRDefault="004A4ABB" w:rsidP="004A4ABB">
            <w:pPr>
              <w:jc w:val="center"/>
              <w:rPr>
                <w:rFonts w:eastAsia="Times New Roman" w:cs="Times New Roman"/>
                <w:color w:val="000000"/>
              </w:rPr>
            </w:pPr>
            <w:r w:rsidRPr="00CA77A5">
              <w:rPr>
                <w:rFonts w:eastAsia="Times New Roman" w:cs="Times New Roman"/>
                <w:color w:val="000000"/>
                <w:sz w:val="22"/>
              </w:rPr>
              <w:t>A.</w:t>
            </w:r>
          </w:p>
        </w:tc>
        <w:tc>
          <w:tcPr>
            <w:tcW w:w="4377" w:type="pct"/>
            <w:tcBorders>
              <w:top w:val="single" w:sz="4" w:space="0" w:color="auto"/>
              <w:left w:val="nil"/>
              <w:bottom w:val="single" w:sz="4" w:space="0" w:color="auto"/>
              <w:right w:val="single" w:sz="4" w:space="0" w:color="auto"/>
            </w:tcBorders>
            <w:shd w:val="clear" w:color="auto" w:fill="auto"/>
            <w:noWrap/>
            <w:vAlign w:val="center"/>
            <w:hideMark/>
          </w:tcPr>
          <w:p w:rsidR="004A4ABB" w:rsidRPr="00CA77A5" w:rsidRDefault="004A4ABB" w:rsidP="004A4ABB">
            <w:pPr>
              <w:jc w:val="left"/>
              <w:rPr>
                <w:rFonts w:eastAsia="Times New Roman" w:cs="Times New Roman"/>
                <w:color w:val="000000"/>
              </w:rPr>
            </w:pPr>
            <w:r w:rsidRPr="00CA77A5">
              <w:rPr>
                <w:rFonts w:eastAsia="Times New Roman" w:cs="Times New Roman"/>
                <w:color w:val="000000"/>
                <w:sz w:val="22"/>
              </w:rPr>
              <w:t>Nr. inregistrare:</w:t>
            </w:r>
          </w:p>
        </w:tc>
      </w:tr>
      <w:tr w:rsidR="004A4ABB" w:rsidRPr="00CA77A5" w:rsidTr="004A4ABB">
        <w:trPr>
          <w:trHeight w:val="288"/>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4A4ABB" w:rsidRPr="00CA77A5" w:rsidRDefault="004A4ABB" w:rsidP="004A4ABB">
            <w:pPr>
              <w:jc w:val="center"/>
              <w:rPr>
                <w:rFonts w:eastAsia="Times New Roman" w:cs="Times New Roman"/>
                <w:color w:val="000000"/>
              </w:rPr>
            </w:pPr>
            <w:r w:rsidRPr="00CA77A5">
              <w:rPr>
                <w:rFonts w:eastAsia="Times New Roman" w:cs="Times New Roman"/>
                <w:color w:val="000000"/>
                <w:sz w:val="22"/>
              </w:rPr>
              <w:t>B.</w:t>
            </w:r>
          </w:p>
        </w:tc>
        <w:tc>
          <w:tcPr>
            <w:tcW w:w="4377" w:type="pct"/>
            <w:tcBorders>
              <w:top w:val="single" w:sz="4" w:space="0" w:color="auto"/>
              <w:left w:val="nil"/>
              <w:bottom w:val="single" w:sz="4" w:space="0" w:color="auto"/>
              <w:right w:val="single" w:sz="4" w:space="0" w:color="auto"/>
            </w:tcBorders>
            <w:shd w:val="clear" w:color="auto" w:fill="auto"/>
            <w:noWrap/>
            <w:vAlign w:val="center"/>
            <w:hideMark/>
          </w:tcPr>
          <w:p w:rsidR="004A4ABB" w:rsidRPr="00CA77A5" w:rsidRDefault="004A4ABB" w:rsidP="004A4ABB">
            <w:pPr>
              <w:jc w:val="left"/>
              <w:rPr>
                <w:rFonts w:eastAsia="Times New Roman" w:cs="Times New Roman"/>
                <w:color w:val="000000"/>
              </w:rPr>
            </w:pPr>
            <w:r w:rsidRPr="00CA77A5">
              <w:rPr>
                <w:rFonts w:eastAsia="Times New Roman" w:cs="Times New Roman"/>
                <w:color w:val="000000"/>
                <w:sz w:val="22"/>
              </w:rPr>
              <w:t>Solicitant:</w:t>
            </w:r>
          </w:p>
        </w:tc>
      </w:tr>
      <w:tr w:rsidR="004A4ABB" w:rsidRPr="00CA77A5" w:rsidTr="004A4ABB">
        <w:trPr>
          <w:trHeight w:val="288"/>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4A4ABB" w:rsidRPr="00CA77A5" w:rsidRDefault="004A4ABB" w:rsidP="004A4ABB">
            <w:pPr>
              <w:jc w:val="center"/>
              <w:rPr>
                <w:rFonts w:eastAsia="Times New Roman" w:cs="Times New Roman"/>
                <w:color w:val="000000"/>
              </w:rPr>
            </w:pPr>
            <w:r w:rsidRPr="00CA77A5">
              <w:rPr>
                <w:rFonts w:eastAsia="Times New Roman" w:cs="Times New Roman"/>
                <w:color w:val="000000"/>
                <w:sz w:val="22"/>
              </w:rPr>
              <w:t>C.</w:t>
            </w:r>
          </w:p>
        </w:tc>
        <w:tc>
          <w:tcPr>
            <w:tcW w:w="4377" w:type="pct"/>
            <w:tcBorders>
              <w:top w:val="single" w:sz="4" w:space="0" w:color="auto"/>
              <w:left w:val="nil"/>
              <w:bottom w:val="single" w:sz="4" w:space="0" w:color="auto"/>
              <w:right w:val="single" w:sz="4" w:space="0" w:color="auto"/>
            </w:tcBorders>
            <w:shd w:val="clear" w:color="auto" w:fill="auto"/>
            <w:noWrap/>
            <w:vAlign w:val="center"/>
            <w:hideMark/>
          </w:tcPr>
          <w:p w:rsidR="004A4ABB" w:rsidRPr="00CA77A5" w:rsidRDefault="004A4ABB" w:rsidP="004A4ABB">
            <w:pPr>
              <w:jc w:val="left"/>
              <w:rPr>
                <w:rFonts w:eastAsia="Times New Roman" w:cs="Times New Roman"/>
                <w:color w:val="000000"/>
              </w:rPr>
            </w:pPr>
            <w:r w:rsidRPr="00CA77A5">
              <w:rPr>
                <w:rFonts w:eastAsia="Times New Roman" w:cs="Times New Roman"/>
                <w:color w:val="000000"/>
                <w:sz w:val="22"/>
              </w:rPr>
              <w:t>Titlu proiect:</w:t>
            </w:r>
          </w:p>
        </w:tc>
      </w:tr>
    </w:tbl>
    <w:p w:rsidR="0022450B" w:rsidRPr="00CA77A5" w:rsidRDefault="0022450B" w:rsidP="0022450B">
      <w:pPr>
        <w:autoSpaceDE w:val="0"/>
        <w:autoSpaceDN w:val="0"/>
        <w:adjustRightInd w:val="0"/>
        <w:ind w:right="-52"/>
        <w:rPr>
          <w:rFonts w:cs="Times New Roman"/>
          <w:szCs w:val="24"/>
        </w:rPr>
      </w:pPr>
    </w:p>
    <w:tbl>
      <w:tblPr>
        <w:tblW w:w="5000" w:type="pct"/>
        <w:tblLook w:val="04A0"/>
      </w:tblPr>
      <w:tblGrid>
        <w:gridCol w:w="791"/>
        <w:gridCol w:w="3627"/>
        <w:gridCol w:w="1301"/>
        <w:gridCol w:w="1136"/>
        <w:gridCol w:w="1136"/>
        <w:gridCol w:w="1251"/>
      </w:tblGrid>
      <w:tr w:rsidR="00CA77A5" w:rsidRPr="00CA77A5" w:rsidTr="00CA77A5">
        <w:trPr>
          <w:trHeight w:val="288"/>
          <w:tblHeader/>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Nr.crt.</w:t>
            </w:r>
          </w:p>
        </w:tc>
        <w:tc>
          <w:tcPr>
            <w:tcW w:w="3102" w:type="pct"/>
            <w:tcBorders>
              <w:top w:val="single" w:sz="4" w:space="0" w:color="auto"/>
              <w:left w:val="nil"/>
              <w:bottom w:val="single" w:sz="4" w:space="0" w:color="auto"/>
              <w:right w:val="single" w:sz="4" w:space="0" w:color="auto"/>
            </w:tcBorders>
            <w:shd w:val="clear" w:color="auto" w:fill="auto"/>
            <w:noWrap/>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Descriere</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CA77A5" w:rsidRPr="00CA77A5" w:rsidRDefault="00CA77A5" w:rsidP="00CA77A5">
            <w:pPr>
              <w:jc w:val="center"/>
              <w:rPr>
                <w:rFonts w:eastAsia="Times New Roman" w:cs="Times New Roman"/>
                <w:color w:val="000000"/>
                <w:sz w:val="18"/>
                <w:szCs w:val="18"/>
              </w:rPr>
            </w:pPr>
            <w:r w:rsidRPr="00CA77A5">
              <w:rPr>
                <w:rFonts w:eastAsia="Times New Roman" w:cs="Times New Roman"/>
                <w:color w:val="000000"/>
                <w:sz w:val="18"/>
                <w:szCs w:val="18"/>
              </w:rPr>
              <w:t>Punctaj maxim</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A77A5" w:rsidRPr="00CA77A5" w:rsidRDefault="00CA77A5" w:rsidP="00CA77A5">
            <w:pPr>
              <w:jc w:val="center"/>
              <w:rPr>
                <w:rFonts w:eastAsia="Times New Roman" w:cs="Times New Roman"/>
                <w:color w:val="000000"/>
                <w:sz w:val="18"/>
                <w:szCs w:val="18"/>
              </w:rPr>
            </w:pPr>
            <w:r w:rsidRPr="00CA77A5">
              <w:rPr>
                <w:rFonts w:eastAsia="Times New Roman" w:cs="Times New Roman"/>
                <w:color w:val="000000"/>
                <w:sz w:val="18"/>
                <w:szCs w:val="18"/>
              </w:rPr>
              <w:t>Punctaj Ev.1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A77A5" w:rsidRPr="00CA77A5" w:rsidRDefault="00CA77A5" w:rsidP="00CA77A5">
            <w:pPr>
              <w:jc w:val="center"/>
              <w:rPr>
                <w:rFonts w:eastAsia="Times New Roman" w:cs="Times New Roman"/>
                <w:color w:val="000000"/>
                <w:sz w:val="18"/>
                <w:szCs w:val="18"/>
              </w:rPr>
            </w:pPr>
            <w:r w:rsidRPr="00CA77A5">
              <w:rPr>
                <w:rFonts w:eastAsia="Times New Roman" w:cs="Times New Roman"/>
                <w:color w:val="000000"/>
                <w:sz w:val="18"/>
                <w:szCs w:val="18"/>
              </w:rPr>
              <w:t>Punctaj Ev.2</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CA77A5" w:rsidRPr="00CA77A5" w:rsidRDefault="00CA77A5" w:rsidP="00CA77A5">
            <w:pPr>
              <w:jc w:val="center"/>
              <w:rPr>
                <w:rFonts w:eastAsia="Times New Roman" w:cs="Times New Roman"/>
                <w:color w:val="000000"/>
                <w:sz w:val="18"/>
                <w:szCs w:val="18"/>
              </w:rPr>
            </w:pPr>
            <w:r w:rsidRPr="00CA77A5">
              <w:rPr>
                <w:rFonts w:eastAsia="Times New Roman" w:cs="Times New Roman"/>
                <w:color w:val="000000"/>
                <w:sz w:val="18"/>
                <w:szCs w:val="18"/>
              </w:rPr>
              <w:t>Punctaj mediu</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 Experiența și pregătirea aplicantului în domeniul de activitate vizat</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3</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2688"/>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Sursa ideii de afaceri și motivele alegerii acesteia;</w:t>
            </w:r>
            <w:r w:rsidRPr="00CA77A5">
              <w:rPr>
                <w:rFonts w:eastAsia="Times New Roman" w:cs="Times New Roman"/>
                <w:color w:val="000000"/>
                <w:sz w:val="22"/>
              </w:rPr>
              <w:br/>
              <w:t>- Experiența aplicantului în domeniul de activitate vizat prin planul de afaceri;</w:t>
            </w:r>
            <w:r w:rsidRPr="00CA77A5">
              <w:rPr>
                <w:rFonts w:eastAsia="Times New Roman" w:cs="Times New Roman"/>
                <w:color w:val="000000"/>
                <w:sz w:val="22"/>
              </w:rPr>
              <w:br/>
              <w:t>- Pregătirea formală sau informală de care aplicantul a beneficiat în domeniul vizat;</w:t>
            </w:r>
            <w:r w:rsidRPr="00CA77A5">
              <w:rPr>
                <w:rFonts w:eastAsia="Times New Roman" w:cs="Times New Roman"/>
                <w:color w:val="000000"/>
                <w:sz w:val="22"/>
              </w:rPr>
              <w:br/>
              <w:t>- Măsura în care aplicantul și-a verificat deja abilitățile de a derula eficient o activitate în domeniu;</w:t>
            </w:r>
            <w:r w:rsidRPr="00CA77A5">
              <w:rPr>
                <w:rFonts w:eastAsia="Times New Roman" w:cs="Times New Roman"/>
                <w:color w:val="000000"/>
                <w:sz w:val="22"/>
              </w:rPr>
              <w:br/>
              <w:t>- Existența unor resurse de networking (potențiali clienți, furnizori de echipamente, furnizori de materii prime, personal specializat disponibil pentru angajare, etc.);</w:t>
            </w:r>
            <w:r w:rsidRPr="00CA77A5">
              <w:rPr>
                <w:rFonts w:eastAsia="Times New Roman" w:cs="Times New Roman"/>
                <w:color w:val="000000"/>
                <w:sz w:val="22"/>
              </w:rPr>
              <w:br/>
              <w:t>- Implicarea în afacere a unor angajați sau asociați cheie, cu expertiză în domeniu de activiate vizat;</w:t>
            </w:r>
            <w:r w:rsidRPr="00CA77A5">
              <w:rPr>
                <w:rFonts w:eastAsia="Times New Roman" w:cs="Times New Roman"/>
                <w:color w:val="000000"/>
                <w:sz w:val="22"/>
              </w:rPr>
              <w:br/>
              <w:t>- Motivația includerii altor asociați în întreprindere (dacă este cazul).</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2</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2: Configurarea ciclului de exploatare</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884"/>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spacing w:after="240"/>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Planificarea logică și completă a operațiunilor incluse în ciclul de exploatare;</w:t>
            </w:r>
            <w:r w:rsidRPr="00CA77A5">
              <w:rPr>
                <w:rFonts w:eastAsia="Times New Roman" w:cs="Times New Roman"/>
                <w:color w:val="000000"/>
                <w:sz w:val="22"/>
              </w:rPr>
              <w:br/>
              <w:t xml:space="preserve">- Identificarea tuturor autorizațiilor necesare derulării activității propuse; </w:t>
            </w:r>
            <w:r w:rsidRPr="00CA77A5">
              <w:rPr>
                <w:rFonts w:eastAsia="Times New Roman" w:cs="Times New Roman"/>
                <w:color w:val="000000"/>
                <w:sz w:val="22"/>
              </w:rPr>
              <w:br/>
              <w:t xml:space="preserve">- Prezentarea corectă a condițiilor care se impun a fi îndeplinite în vederea obținerii fiecărei autorizații; </w:t>
            </w:r>
            <w:r w:rsidRPr="00CA77A5">
              <w:rPr>
                <w:rFonts w:eastAsia="Times New Roman" w:cs="Times New Roman"/>
                <w:color w:val="000000"/>
                <w:sz w:val="22"/>
              </w:rPr>
              <w:br/>
              <w:t>- Stabilirea corectă a pașilor necesar a fi parcurși în vederea obținerii autorizațiilor;</w:t>
            </w:r>
            <w:r w:rsidRPr="00CA77A5">
              <w:rPr>
                <w:rFonts w:eastAsia="Times New Roman" w:cs="Times New Roman"/>
                <w:color w:val="000000"/>
                <w:sz w:val="22"/>
              </w:rPr>
              <w:br/>
              <w:t>- Identificarea corectă a resurselor necesar a fi utilizate în exploatare și stabilirea clară a caracteristicilor tehice de bază ale acestora.</w:t>
            </w:r>
            <w:r w:rsidRPr="00CA77A5">
              <w:rPr>
                <w:rFonts w:eastAsia="Times New Roman" w:cs="Times New Roman"/>
                <w:color w:val="000000"/>
                <w:sz w:val="22"/>
              </w:rPr>
              <w:br/>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3</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3: Fundamentarea investițiilor</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2016"/>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spacing w:after="240"/>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Bugetul de investiții este complet, nefiind omise resurse fără de care ciclul de exploatare nu poate fi derulat;</w:t>
            </w:r>
            <w:r w:rsidRPr="00CA77A5">
              <w:rPr>
                <w:rFonts w:eastAsia="Times New Roman" w:cs="Times New Roman"/>
                <w:color w:val="000000"/>
                <w:sz w:val="22"/>
              </w:rPr>
              <w:br/>
              <w:t xml:space="preserve">- Bugetul de investiții nu conține resurse care nu sunt impuse de ciclul de exploatare proiectat (active care nu vor contribui la generarea de venituri sau vor prezenta un grad de utilizare redus); </w:t>
            </w:r>
            <w:r w:rsidRPr="00CA77A5">
              <w:rPr>
                <w:rFonts w:eastAsia="Times New Roman" w:cs="Times New Roman"/>
                <w:color w:val="000000"/>
                <w:sz w:val="22"/>
              </w:rPr>
              <w:br/>
              <w:t>- Prețurile activelor imobilizate prevăzute în bugetul investițional sunt realiste, fiind fundamentate prin oferte de preț sau alte documente (minim 3 surse de informare pentru fiecare activ). Ofertele de preț (sau alte surse de informare folosite) provin de la furnizori diferiți (și producători diferiți).</w:t>
            </w:r>
            <w:r w:rsidRPr="00CA77A5">
              <w:rPr>
                <w:rFonts w:eastAsia="Times New Roman" w:cs="Times New Roman"/>
                <w:color w:val="000000"/>
                <w:sz w:val="22"/>
              </w:rPr>
              <w:br/>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4</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4: Fundamentarea politicii de resurse umane</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572"/>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spacing w:after="240"/>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-Sarcinile asociate fiecărui post, experiența, pregătirea și competențele minimale impuse ocupanților posturilor sunt stabilite corect, în concordanță cu detaliile operațiunilor din cadrul ciclului de exploatare;</w:t>
            </w:r>
            <w:r w:rsidRPr="00CA77A5">
              <w:rPr>
                <w:rFonts w:eastAsia="Times New Roman" w:cs="Times New Roman"/>
                <w:color w:val="000000"/>
                <w:sz w:val="22"/>
              </w:rPr>
              <w:br/>
              <w:t>- Informațiile privind piața forței de muncă în domeniu sunt corecte și complete;</w:t>
            </w:r>
            <w:r w:rsidRPr="00CA77A5">
              <w:rPr>
                <w:rFonts w:eastAsia="Times New Roman" w:cs="Times New Roman"/>
                <w:color w:val="000000"/>
                <w:sz w:val="22"/>
              </w:rPr>
              <w:br/>
              <w:t>- Politicile de recrutare și de motivare sunt corecte.</w:t>
            </w:r>
            <w:r w:rsidRPr="00CA77A5">
              <w:rPr>
                <w:rFonts w:eastAsia="Times New Roman" w:cs="Times New Roman"/>
                <w:color w:val="000000"/>
                <w:sz w:val="22"/>
              </w:rPr>
              <w:br/>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5: Fundamentarea politicii de aprovizionare cu resurse curente</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2532"/>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spacing w:after="240"/>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Se prezintă și se fundamentează cantitățile consumate lunar din principalele resurse curente (materii prime, materiale consumabile, dar și servicii de închiriere, servicii de promovare, servicii de contabilitate, etc.);</w:t>
            </w:r>
            <w:r w:rsidRPr="00CA77A5">
              <w:rPr>
                <w:rFonts w:eastAsia="Times New Roman" w:cs="Times New Roman"/>
                <w:color w:val="000000"/>
                <w:sz w:val="22"/>
              </w:rPr>
              <w:br/>
              <w:t>- Analiza pieței de aprovizionare este corectă;</w:t>
            </w:r>
            <w:r w:rsidRPr="00CA77A5">
              <w:rPr>
                <w:rFonts w:eastAsia="Times New Roman" w:cs="Times New Roman"/>
                <w:color w:val="000000"/>
                <w:sz w:val="22"/>
              </w:rPr>
              <w:br/>
              <w:t>- Se prezintă potențiali furnizori;</w:t>
            </w:r>
            <w:r w:rsidRPr="00CA77A5">
              <w:rPr>
                <w:rFonts w:eastAsia="Times New Roman" w:cs="Times New Roman"/>
                <w:color w:val="000000"/>
                <w:sz w:val="22"/>
              </w:rPr>
              <w:br/>
              <w:t>- Se indică prețurile de piață pentru principalele resurse curente aprovizionate;</w:t>
            </w:r>
            <w:r w:rsidRPr="00CA77A5">
              <w:rPr>
                <w:rFonts w:eastAsia="Times New Roman" w:cs="Times New Roman"/>
                <w:color w:val="000000"/>
                <w:sz w:val="22"/>
              </w:rPr>
              <w:br/>
              <w:t>- Se descriu soluțiile alese pentru asigurarea transportului la aprovizionare;</w:t>
            </w:r>
            <w:r w:rsidRPr="00CA77A5">
              <w:rPr>
                <w:rFonts w:eastAsia="Times New Roman" w:cs="Times New Roman"/>
                <w:color w:val="000000"/>
                <w:sz w:val="22"/>
              </w:rPr>
              <w:br/>
              <w:t>- Se prezintă politica de stocare.</w:t>
            </w:r>
            <w:r w:rsidRPr="00CA77A5">
              <w:rPr>
                <w:rFonts w:eastAsia="Times New Roman" w:cs="Times New Roman"/>
                <w:color w:val="000000"/>
                <w:sz w:val="22"/>
              </w:rPr>
              <w:br/>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6</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6: Fundamentarea bugetului proiectului</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25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spacing w:after="240"/>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Detalierea componentelor bugetului este clară și permite urmărirea în implementare;</w:t>
            </w:r>
            <w:r w:rsidRPr="00CA77A5">
              <w:rPr>
                <w:rFonts w:eastAsia="Times New Roman" w:cs="Times New Roman"/>
                <w:color w:val="000000"/>
                <w:sz w:val="22"/>
              </w:rPr>
              <w:br/>
              <w:t>- Graficul de implementare este coerent și realist;</w:t>
            </w:r>
            <w:r w:rsidRPr="00CA77A5">
              <w:rPr>
                <w:rFonts w:eastAsia="Times New Roman" w:cs="Times New Roman"/>
                <w:color w:val="000000"/>
                <w:sz w:val="22"/>
              </w:rPr>
              <w:br/>
              <w:t>- Resursele cuprinse în bugetul proiectului sunt alocate corect pe linii bugetare și sunt încadrate corect în categoria cheltuielilor eligibile sau neeligibile;</w:t>
            </w:r>
            <w:r w:rsidRPr="00CA77A5">
              <w:rPr>
                <w:rFonts w:eastAsia="Times New Roman" w:cs="Times New Roman"/>
                <w:color w:val="000000"/>
                <w:sz w:val="22"/>
              </w:rPr>
              <w:br/>
              <w:t>- Valoarea activelor imobilizate cuprinse în Bugetul proiectului se află în corespondență cu valoarea rezultată din Bugetul de investiții;</w:t>
            </w:r>
            <w:r w:rsidRPr="00CA77A5">
              <w:rPr>
                <w:rFonts w:eastAsia="Times New Roman" w:cs="Times New Roman"/>
                <w:color w:val="000000"/>
                <w:sz w:val="22"/>
              </w:rPr>
              <w:br/>
              <w:t>- Cheltuielile curente cuprinse în Bugetul proiectului se află în corespondență cu cheltuielile previzionate în cadrul cap. 10 al planului de afaceri.</w:t>
            </w:r>
            <w:r w:rsidRPr="00CA77A5">
              <w:rPr>
                <w:rFonts w:eastAsia="Times New Roman" w:cs="Times New Roman"/>
                <w:color w:val="000000"/>
                <w:sz w:val="22"/>
              </w:rPr>
              <w:br/>
              <w:t>- Structura surselor de finanțare prevăzută este corectă.</w:t>
            </w:r>
            <w:r w:rsidRPr="00CA77A5">
              <w:rPr>
                <w:rFonts w:eastAsia="Times New Roman" w:cs="Times New Roman"/>
                <w:color w:val="000000"/>
                <w:sz w:val="22"/>
              </w:rPr>
              <w:br/>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7</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7: Prioritatea acordată investițiilor</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236"/>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Minim 70% din ajutorul de minimis este alocat pentru investiții sub formă de imobilizări corporale sau necorporale (secțiunile A și B din bugetul proiectului).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8</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8: Calitatea analizei pieței de desfacere și a concurenței</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3072"/>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Planul de afaceri stabilește cu claritate piața căreia întreprinderea i se adresează. Piața este definită atât din punct de vedere geografic, cât și în baza altor caracteristici relevante ale potențialilor cumpărători.</w:t>
            </w:r>
            <w:r w:rsidRPr="00CA77A5">
              <w:rPr>
                <w:rFonts w:eastAsia="Times New Roman" w:cs="Times New Roman"/>
                <w:color w:val="000000"/>
                <w:sz w:val="22"/>
              </w:rPr>
              <w:br/>
              <w:t xml:space="preserve">- Metodele de colectare a datelor privind piața sunt corespunzătoare. Datele colectate sunt suficiente. Baza de date este anexată la planul de afaceri. </w:t>
            </w:r>
            <w:r w:rsidRPr="00CA77A5">
              <w:rPr>
                <w:rFonts w:eastAsia="Times New Roman" w:cs="Times New Roman"/>
                <w:color w:val="000000"/>
                <w:sz w:val="22"/>
              </w:rPr>
              <w:br/>
              <w:t>- Analiza datelor cu privie la piață este corectă și completă.</w:t>
            </w:r>
            <w:r w:rsidRPr="00CA77A5">
              <w:rPr>
                <w:rFonts w:eastAsia="Times New Roman" w:cs="Times New Roman"/>
                <w:color w:val="000000"/>
                <w:sz w:val="22"/>
              </w:rPr>
              <w:br/>
              <w:t>- Potențialul pieței este ridicat. Piața prezintă o tendință de creștere.</w:t>
            </w:r>
            <w:r w:rsidRPr="00CA77A5">
              <w:rPr>
                <w:rFonts w:eastAsia="Times New Roman" w:cs="Times New Roman"/>
                <w:color w:val="000000"/>
                <w:sz w:val="22"/>
              </w:rPr>
              <w:br/>
              <w:t>- Piața este formată, potențialii cumpărători fiind deja familiari cu tipologia de produse sau servicii vizate a fi oferite.</w:t>
            </w:r>
            <w:r w:rsidRPr="00CA77A5">
              <w:rPr>
                <w:rFonts w:eastAsia="Times New Roman" w:cs="Times New Roman"/>
                <w:color w:val="000000"/>
                <w:sz w:val="22"/>
              </w:rPr>
              <w:br/>
              <w:t>- Sunt identificați și prezentați principalii concurenți. Sunt analizate strategiile de marketing ale concurenților.</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9</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9: Calitatea strategiei de marketing</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360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Sunt configurate caracteristicile produselor, fiind scoasă în evidență modalitatea în care se ține cont de așteptările cumpărătorilor și de politicile de produs ale concuenților (așa cum acestea rezultă din analiza pieței).</w:t>
            </w:r>
            <w:r w:rsidRPr="00CA77A5">
              <w:rPr>
                <w:rFonts w:eastAsia="Times New Roman" w:cs="Times New Roman"/>
                <w:color w:val="000000"/>
                <w:sz w:val="22"/>
              </w:rPr>
              <w:br/>
              <w:t xml:space="preserve">- Sunt stabilite prețurile de vânzare, prin raportarea concomitentă la: costurile de producție, prețurile concurenților, elasticitatea cererii în raport cu prețul. </w:t>
            </w:r>
            <w:r w:rsidRPr="00CA77A5">
              <w:rPr>
                <w:rFonts w:eastAsia="Times New Roman" w:cs="Times New Roman"/>
                <w:color w:val="000000"/>
                <w:sz w:val="22"/>
              </w:rPr>
              <w:br/>
              <w:t>- Politica de promovare este fundamentată pe informațiile rezultate din analiza pieței cu privire la modalitatea în care cumpărătorii se informează. În configurarea politicii de promovare s-a ținut cont de politicile de promovare ale principalilor concurenți. Bugetul de promovare este întocmit corect (măsurile de promovare sunt consecvente cu obiectivele în materie de vânzări, iar bugetul alocat este corespunzător).</w:t>
            </w:r>
            <w:r w:rsidRPr="00CA77A5">
              <w:rPr>
                <w:rFonts w:eastAsia="Times New Roman" w:cs="Times New Roman"/>
                <w:color w:val="000000"/>
                <w:sz w:val="22"/>
              </w:rPr>
              <w:br/>
              <w:t>-Politica de distribuie a produselor este fundamentată ținându-se cont de locațiile și metodele de achiziție preferate de cumpărători, politicile de distribuție practicate de concurență, costurile de distribuție asociate diverselor soluții, posibilitățile de menținere a contactului cu piața.</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10</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10: Calitatea proiecțiilor financiare</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3528"/>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spacing w:after="240"/>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Afacerea prezintă un potențial ridicat în materie de performanță financiară.</w:t>
            </w:r>
            <w:r w:rsidRPr="00CA77A5">
              <w:rPr>
                <w:rFonts w:eastAsia="Times New Roman" w:cs="Times New Roman"/>
                <w:color w:val="000000"/>
                <w:sz w:val="22"/>
              </w:rPr>
              <w:br/>
              <w:t>- Ipotezele pe care previziunile financiare sunt fundamentate sunt realiste.</w:t>
            </w:r>
            <w:r w:rsidRPr="00CA77A5">
              <w:rPr>
                <w:rFonts w:eastAsia="Times New Roman" w:cs="Times New Roman"/>
                <w:color w:val="000000"/>
                <w:sz w:val="22"/>
              </w:rPr>
              <w:br/>
              <w:t>- Veniturile sunt estimate fundamentat, factorii determinanți ai acestora fiind prezentați cu claritate și analizați corespunzător.</w:t>
            </w:r>
            <w:r w:rsidRPr="00CA77A5">
              <w:rPr>
                <w:rFonts w:eastAsia="Times New Roman" w:cs="Times New Roman"/>
                <w:color w:val="000000"/>
                <w:sz w:val="22"/>
              </w:rPr>
              <w:br/>
              <w:t>- Lista cheltuielilor estimate este completă. Cheltuielile sunt estimate fundamentat, factorii determinanți ai acestora fiind prezentați cu claritate și analizați corespunzător.</w:t>
            </w:r>
            <w:r w:rsidRPr="00CA77A5">
              <w:rPr>
                <w:rFonts w:eastAsia="Times New Roman" w:cs="Times New Roman"/>
                <w:color w:val="000000"/>
                <w:sz w:val="22"/>
              </w:rPr>
              <w:br/>
              <w:t xml:space="preserve">- Activitatea de exploatare a întreprinderii este planificată a fi demarată rapid, astfel încât pragul de rentabilitate să fie atins din primele luni de funcționare. Pentru lunile în care pragul de rentabilitate din exploatare nu este atins, sunt prevăzute surse de finanțare pentru acoperirea cheltuielilor de exploatare (surse proprii, alocări din ajutorul de minimis, alte surse). </w:t>
            </w:r>
            <w:r w:rsidRPr="00CA77A5">
              <w:rPr>
                <w:rFonts w:eastAsia="Times New Roman" w:cs="Times New Roman"/>
                <w:color w:val="000000"/>
                <w:sz w:val="22"/>
              </w:rPr>
              <w:br/>
              <w:t>- Planul de afaceri nu prevede utilizarea ajutorului de minimis pentru acoperirea cheltuielilor de exploatare în lunile în care acestea sunt acoperite în mod asigurătoriu din cifra de afaceri.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11</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11: Data de depunere a planului de afaceri</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28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Pentru aplicanții care au promovat examenul de finalizare a programului de formare înainte de data deschiderii sesiunii de depunere a planurilor de afaceri: se acordă punctajul aferent acestui criteriu pentru depunerea planurilor de afaceri în maxim 14 zile de la data deschiderii sesiunii.</w:t>
            </w:r>
            <w:r w:rsidRPr="00CA77A5">
              <w:rPr>
                <w:rFonts w:eastAsia="Times New Roman" w:cs="Times New Roman"/>
                <w:color w:val="000000"/>
                <w:sz w:val="22"/>
              </w:rPr>
              <w:br/>
              <w:t>- Pentru aplicanții care promovează examenul de finalizare a programului de formare după de data deschiderii sesiunii de depunere a planurilor de afaceri: se acordă punctajul aferent acestui criteriu pentru depunerea planurilor de afaceri în maxim 14 zile de la data promovării examenului.</w:t>
            </w:r>
            <w:r w:rsidRPr="00CA77A5">
              <w:rPr>
                <w:rFonts w:eastAsia="Times New Roman" w:cs="Times New Roman"/>
                <w:color w:val="000000"/>
                <w:sz w:val="22"/>
              </w:rPr>
              <w:br/>
              <w:t>- Pentru aplicanții care nu au promovat examenul de finalizare a programului de formare: se acordă punctajul aferent acestui criteriu pentru depunerea planurilor de afaceri în maxim 14 zile de la data deschiderii sesiunii.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12</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12: Inovarea socială</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104"/>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Planul de afaceri prevede măsuri concrete de inovare socială. Măsurile se materializează în perioada de implementare, au rezultate verificabile și sunt reflectate în bugetul proiectului.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576"/>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13</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13: Îmbunătățirea accesibilității, a utilizării și a calității tehnologiilor informației și comunicațiilor</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236"/>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Planul de afaceri prevede măsuri concrete pentru îmbunătațirea accesibilității, a utilizării și a calității tehnologiilor informației și comunicațiilor. Măsurile se materializează în perioada de implementare, au rezultate verificabile și sunt reflectate în bugetul proiectului.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14</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14: Nediscriminarea</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116"/>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Planul de afaceri prevede măsuri concrete pentru promovarea nediscriminării. Măsurile se materializează în perioada de implementare, au rezultate verificabile și sunt reflectate în bugetul proiectului.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15</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15: Dezvoltarea durabilă</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2</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116"/>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Planul de afaceri prevede măsuri concrete pentru promovarea dezvoltării durabile. Măsurile se materializează în perioada de implementare, au rezultate verificabile și sunt reflectate în bugetul proiectului.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288"/>
        </w:trPr>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16</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Criteriul de evaluare 16: Calitatea analizei riscurilor și a analizei SWOT</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5</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168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Aspecte punctate:</w:t>
            </w:r>
            <w:r w:rsidRPr="00CA77A5">
              <w:rPr>
                <w:rFonts w:eastAsia="Times New Roman" w:cs="Times New Roman"/>
                <w:color w:val="000000"/>
                <w:sz w:val="22"/>
              </w:rPr>
              <w:br/>
              <w:t>- Se identifica și se analizează principalii factori de risc (atât cu privire la implementarea investiției și demararea activității, cât și cu privire la activitatea de exploatare);</w:t>
            </w:r>
            <w:r w:rsidRPr="00CA77A5">
              <w:rPr>
                <w:rFonts w:eastAsia="Times New Roman" w:cs="Times New Roman"/>
                <w:color w:val="000000"/>
                <w:sz w:val="22"/>
              </w:rPr>
              <w:br/>
              <w:t>- Sunt prevăzute măsuri realiste de combatere a riscurilor și măsuri de corecție (în cazul manifestării riscurilor);</w:t>
            </w:r>
            <w:r w:rsidRPr="00CA77A5">
              <w:rPr>
                <w:rFonts w:eastAsia="Times New Roman" w:cs="Times New Roman"/>
                <w:color w:val="000000"/>
                <w:sz w:val="22"/>
              </w:rPr>
              <w:br/>
              <w:t>- Sunt identificate corect principalelele puncte tari, puncte slabe, oportunități și amenințări.</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1:</w:t>
            </w:r>
          </w:p>
        </w:tc>
      </w:tr>
      <w:tr w:rsidR="00CA77A5" w:rsidRPr="00CA77A5" w:rsidTr="00CA77A5">
        <w:trPr>
          <w:trHeight w:val="720"/>
        </w:trPr>
        <w:tc>
          <w:tcPr>
            <w:tcW w:w="295" w:type="pct"/>
            <w:vMerge/>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705" w:type="pct"/>
            <w:gridSpan w:val="5"/>
            <w:tcBorders>
              <w:top w:val="single" w:sz="4" w:space="0" w:color="auto"/>
              <w:left w:val="nil"/>
              <w:bottom w:val="single" w:sz="4" w:space="0" w:color="auto"/>
              <w:right w:val="single" w:sz="4" w:space="0" w:color="000000"/>
            </w:tcBorders>
            <w:shd w:val="clear" w:color="auto" w:fill="auto"/>
            <w:vAlign w:val="center"/>
            <w:hideMark/>
          </w:tcPr>
          <w:p w:rsidR="00CA77A5" w:rsidRPr="00CA77A5" w:rsidRDefault="00CA77A5" w:rsidP="00CA77A5">
            <w:pPr>
              <w:rPr>
                <w:rFonts w:eastAsia="Times New Roman" w:cs="Times New Roman"/>
                <w:color w:val="000000"/>
              </w:rPr>
            </w:pPr>
            <w:r w:rsidRPr="00CA77A5">
              <w:rPr>
                <w:rFonts w:eastAsia="Times New Roman" w:cs="Times New Roman"/>
                <w:color w:val="000000"/>
                <w:sz w:val="22"/>
              </w:rPr>
              <w:t>Observații evaluator 2:</w:t>
            </w:r>
          </w:p>
        </w:tc>
      </w:tr>
      <w:tr w:rsidR="00CA77A5" w:rsidRPr="00CA77A5" w:rsidTr="00CA77A5">
        <w:trPr>
          <w:trHeight w:val="72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Corecții impuse:</w:t>
            </w:r>
          </w:p>
        </w:tc>
      </w:tr>
      <w:tr w:rsidR="00CA77A5" w:rsidRPr="00CA77A5" w:rsidTr="00CA77A5">
        <w:trPr>
          <w:trHeight w:val="288"/>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b/>
                <w:bCs/>
                <w:color w:val="000000"/>
              </w:rPr>
            </w:pPr>
            <w:r w:rsidRPr="00CA77A5">
              <w:rPr>
                <w:rFonts w:eastAsia="Times New Roman" w:cs="Times New Roman"/>
                <w:b/>
                <w:bCs/>
                <w:color w:val="000000"/>
                <w:sz w:val="22"/>
              </w:rPr>
              <w:t>-</w:t>
            </w:r>
          </w:p>
        </w:tc>
        <w:tc>
          <w:tcPr>
            <w:tcW w:w="3102"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rPr>
                <w:rFonts w:eastAsia="Times New Roman" w:cs="Times New Roman"/>
                <w:b/>
                <w:bCs/>
                <w:color w:val="000000"/>
              </w:rPr>
            </w:pPr>
            <w:r w:rsidRPr="00CA77A5">
              <w:rPr>
                <w:rFonts w:eastAsia="Times New Roman" w:cs="Times New Roman"/>
                <w:b/>
                <w:bCs/>
                <w:color w:val="000000"/>
                <w:sz w:val="22"/>
              </w:rPr>
              <w:t>Total punctaj grilă ETF</w:t>
            </w:r>
          </w:p>
        </w:tc>
        <w:tc>
          <w:tcPr>
            <w:tcW w:w="440"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b/>
                <w:bCs/>
                <w:color w:val="000000"/>
              </w:rPr>
            </w:pPr>
            <w:r w:rsidRPr="00CA77A5">
              <w:rPr>
                <w:rFonts w:eastAsia="Times New Roman" w:cs="Times New Roman"/>
                <w:b/>
                <w:bCs/>
                <w:color w:val="000000"/>
                <w:sz w:val="22"/>
              </w:rPr>
              <w:t>100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b/>
                <w:bCs/>
                <w:color w:val="000000"/>
              </w:rPr>
            </w:pPr>
            <w:r w:rsidRPr="00CA77A5">
              <w:rPr>
                <w:rFonts w:eastAsia="Times New Roman" w:cs="Times New Roman"/>
                <w:b/>
                <w:bCs/>
                <w:color w:val="000000"/>
                <w:sz w:val="22"/>
              </w:rPr>
              <w:t>0</w:t>
            </w:r>
          </w:p>
        </w:tc>
        <w:tc>
          <w:tcPr>
            <w:tcW w:w="365"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b/>
                <w:bCs/>
                <w:color w:val="000000"/>
              </w:rPr>
            </w:pPr>
            <w:r w:rsidRPr="00CA77A5">
              <w:rPr>
                <w:rFonts w:eastAsia="Times New Roman" w:cs="Times New Roman"/>
                <w:b/>
                <w:bCs/>
                <w:color w:val="000000"/>
                <w:sz w:val="22"/>
              </w:rPr>
              <w:t>0</w:t>
            </w:r>
          </w:p>
        </w:tc>
        <w:tc>
          <w:tcPr>
            <w:tcW w:w="433" w:type="pct"/>
            <w:tcBorders>
              <w:top w:val="nil"/>
              <w:left w:val="nil"/>
              <w:bottom w:val="single" w:sz="4" w:space="0" w:color="auto"/>
              <w:right w:val="single" w:sz="4" w:space="0" w:color="auto"/>
            </w:tcBorders>
            <w:shd w:val="clear" w:color="auto" w:fill="auto"/>
            <w:vAlign w:val="center"/>
            <w:hideMark/>
          </w:tcPr>
          <w:p w:rsidR="00CA77A5" w:rsidRPr="00CA77A5" w:rsidRDefault="00CA77A5" w:rsidP="00CA77A5">
            <w:pPr>
              <w:jc w:val="center"/>
              <w:rPr>
                <w:rFonts w:eastAsia="Times New Roman" w:cs="Times New Roman"/>
                <w:b/>
                <w:bCs/>
                <w:color w:val="000000"/>
              </w:rPr>
            </w:pPr>
            <w:r w:rsidRPr="00CA77A5">
              <w:rPr>
                <w:rFonts w:eastAsia="Times New Roman" w:cs="Times New Roman"/>
                <w:b/>
                <w:bCs/>
                <w:color w:val="000000"/>
                <w:sz w:val="22"/>
              </w:rPr>
              <w:t> </w:t>
            </w:r>
          </w:p>
        </w:tc>
      </w:tr>
      <w:tr w:rsidR="00CA77A5" w:rsidRPr="00CA77A5" w:rsidTr="00CA77A5">
        <w:trPr>
          <w:trHeight w:val="420"/>
        </w:trPr>
        <w:tc>
          <w:tcPr>
            <w:tcW w:w="295" w:type="pct"/>
            <w:tcBorders>
              <w:top w:val="nil"/>
              <w:left w:val="single" w:sz="4" w:space="0" w:color="auto"/>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 </w:t>
            </w:r>
          </w:p>
        </w:tc>
        <w:tc>
          <w:tcPr>
            <w:tcW w:w="3102"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sz w:val="20"/>
                <w:szCs w:val="20"/>
              </w:rPr>
            </w:pPr>
            <w:r w:rsidRPr="00CA77A5">
              <w:rPr>
                <w:rFonts w:eastAsia="Times New Roman" w:cs="Times New Roman"/>
                <w:color w:val="000000"/>
                <w:sz w:val="20"/>
                <w:szCs w:val="20"/>
              </w:rPr>
              <w:t>Nume și semnătură evaluator 1 (2 ochi):</w:t>
            </w:r>
          </w:p>
        </w:tc>
        <w:tc>
          <w:tcPr>
            <w:tcW w:w="440"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365"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365"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33" w:type="pct"/>
            <w:tcBorders>
              <w:top w:val="nil"/>
              <w:left w:val="nil"/>
              <w:bottom w:val="nil"/>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420"/>
        </w:trPr>
        <w:tc>
          <w:tcPr>
            <w:tcW w:w="295" w:type="pct"/>
            <w:tcBorders>
              <w:top w:val="nil"/>
              <w:left w:val="single" w:sz="4" w:space="0" w:color="auto"/>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 </w:t>
            </w:r>
          </w:p>
        </w:tc>
        <w:tc>
          <w:tcPr>
            <w:tcW w:w="3102"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sz w:val="20"/>
                <w:szCs w:val="20"/>
              </w:rPr>
            </w:pPr>
            <w:r w:rsidRPr="00CA77A5">
              <w:rPr>
                <w:rFonts w:eastAsia="Times New Roman" w:cs="Times New Roman"/>
                <w:color w:val="000000"/>
                <w:sz w:val="20"/>
                <w:szCs w:val="20"/>
              </w:rPr>
              <w:t>Nume și semnătură evaluator 2 (4 ochi):</w:t>
            </w:r>
          </w:p>
        </w:tc>
        <w:tc>
          <w:tcPr>
            <w:tcW w:w="440"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365"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365" w:type="pct"/>
            <w:tcBorders>
              <w:top w:val="nil"/>
              <w:left w:val="nil"/>
              <w:bottom w:val="nil"/>
              <w:right w:val="nil"/>
            </w:tcBorders>
            <w:shd w:val="clear" w:color="auto" w:fill="auto"/>
            <w:vAlign w:val="center"/>
            <w:hideMark/>
          </w:tcPr>
          <w:p w:rsidR="00CA77A5" w:rsidRPr="00CA77A5" w:rsidRDefault="00CA77A5" w:rsidP="00CA77A5">
            <w:pPr>
              <w:jc w:val="left"/>
              <w:rPr>
                <w:rFonts w:eastAsia="Times New Roman" w:cs="Times New Roman"/>
                <w:color w:val="000000"/>
              </w:rPr>
            </w:pPr>
          </w:p>
        </w:tc>
        <w:tc>
          <w:tcPr>
            <w:tcW w:w="433" w:type="pct"/>
            <w:tcBorders>
              <w:top w:val="nil"/>
              <w:left w:val="nil"/>
              <w:bottom w:val="nil"/>
              <w:right w:val="single" w:sz="4" w:space="0" w:color="auto"/>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 </w:t>
            </w:r>
          </w:p>
        </w:tc>
      </w:tr>
      <w:tr w:rsidR="00CA77A5" w:rsidRPr="00CA77A5" w:rsidTr="00CA77A5">
        <w:trPr>
          <w:trHeight w:val="420"/>
        </w:trPr>
        <w:tc>
          <w:tcPr>
            <w:tcW w:w="295" w:type="pct"/>
            <w:tcBorders>
              <w:top w:val="nil"/>
              <w:left w:val="single" w:sz="4" w:space="0" w:color="auto"/>
              <w:bottom w:val="single" w:sz="4" w:space="0" w:color="auto"/>
              <w:right w:val="nil"/>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 </w:t>
            </w:r>
          </w:p>
        </w:tc>
        <w:tc>
          <w:tcPr>
            <w:tcW w:w="3102" w:type="pct"/>
            <w:tcBorders>
              <w:top w:val="nil"/>
              <w:left w:val="nil"/>
              <w:bottom w:val="single" w:sz="4" w:space="0" w:color="auto"/>
              <w:right w:val="nil"/>
            </w:tcBorders>
            <w:shd w:val="clear" w:color="auto" w:fill="auto"/>
            <w:vAlign w:val="center"/>
            <w:hideMark/>
          </w:tcPr>
          <w:p w:rsidR="00CA77A5" w:rsidRPr="00CA77A5" w:rsidRDefault="00CA77A5" w:rsidP="00CA77A5">
            <w:pPr>
              <w:jc w:val="left"/>
              <w:rPr>
                <w:rFonts w:eastAsia="Times New Roman" w:cs="Times New Roman"/>
                <w:color w:val="000000"/>
              </w:rPr>
            </w:pPr>
            <w:r w:rsidRPr="00CA77A5">
              <w:rPr>
                <w:rFonts w:eastAsia="Times New Roman" w:cs="Times New Roman"/>
                <w:color w:val="000000"/>
                <w:sz w:val="22"/>
              </w:rPr>
              <w:t>Data:</w:t>
            </w:r>
          </w:p>
        </w:tc>
        <w:tc>
          <w:tcPr>
            <w:tcW w:w="1603" w:type="pct"/>
            <w:gridSpan w:val="4"/>
            <w:tcBorders>
              <w:top w:val="nil"/>
              <w:left w:val="nil"/>
              <w:bottom w:val="single" w:sz="4" w:space="0" w:color="auto"/>
              <w:right w:val="single" w:sz="4" w:space="0" w:color="000000"/>
            </w:tcBorders>
            <w:shd w:val="clear" w:color="auto" w:fill="auto"/>
            <w:vAlign w:val="center"/>
            <w:hideMark/>
          </w:tcPr>
          <w:p w:rsidR="00CA77A5" w:rsidRPr="00CA77A5" w:rsidRDefault="00CA77A5" w:rsidP="00CA77A5">
            <w:pPr>
              <w:jc w:val="center"/>
              <w:rPr>
                <w:rFonts w:eastAsia="Times New Roman" w:cs="Times New Roman"/>
                <w:color w:val="000000"/>
              </w:rPr>
            </w:pPr>
            <w:r w:rsidRPr="00CA77A5">
              <w:rPr>
                <w:rFonts w:eastAsia="Times New Roman" w:cs="Times New Roman"/>
                <w:color w:val="000000"/>
                <w:sz w:val="22"/>
              </w:rPr>
              <w:t> </w:t>
            </w:r>
          </w:p>
        </w:tc>
      </w:tr>
    </w:tbl>
    <w:p w:rsidR="0022450B" w:rsidRPr="00CA77A5" w:rsidRDefault="0022450B" w:rsidP="004A4ABB">
      <w:pPr>
        <w:rPr>
          <w:rFonts w:cs="Times New Roman"/>
        </w:rPr>
      </w:pPr>
    </w:p>
    <w:sectPr w:rsidR="0022450B" w:rsidRPr="00CA77A5" w:rsidSect="008D5C33">
      <w:headerReference w:type="default" r:id="rId7"/>
      <w:footerReference w:type="default" r:id="rId8"/>
      <w:pgSz w:w="11906" w:h="16838" w:code="9"/>
      <w:pgMar w:top="1440"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80" w:rsidRDefault="00427480" w:rsidP="00D56167">
      <w:r>
        <w:separator/>
      </w:r>
    </w:p>
  </w:endnote>
  <w:endnote w:type="continuationSeparator" w:id="1">
    <w:p w:rsidR="00427480" w:rsidRDefault="00427480" w:rsidP="00D5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46"/>
      <w:docPartObj>
        <w:docPartGallery w:val="Page Numbers (Bottom of Page)"/>
        <w:docPartUnique/>
      </w:docPartObj>
    </w:sdtPr>
    <w:sdtContent>
      <w:p w:rsidR="00F20F87" w:rsidRDefault="00F20F87">
        <w:pPr>
          <w:pStyle w:val="Footer"/>
          <w:jc w:val="right"/>
        </w:pPr>
      </w:p>
      <w:p w:rsidR="008E32A3" w:rsidRPr="00A639FD" w:rsidRDefault="008E32A3" w:rsidP="008E32A3">
        <w:pPr>
          <w:spacing w:after="218" w:line="259" w:lineRule="auto"/>
          <w:ind w:right="62"/>
          <w:jc w:val="center"/>
          <w:rPr>
            <w:i/>
          </w:rPr>
        </w:pPr>
        <w:r w:rsidRPr="00A639FD">
          <w:rPr>
            <w:i/>
            <w:noProof/>
          </w:rPr>
          <w:drawing>
            <wp:anchor distT="0" distB="0" distL="114300" distR="114300" simplePos="0" relativeHeight="251659264" behindDoc="0" locked="0" layoutInCell="1" allowOverlap="1">
              <wp:simplePos x="0" y="0"/>
              <wp:positionH relativeFrom="column">
                <wp:posOffset>1814945</wp:posOffset>
              </wp:positionH>
              <wp:positionV relativeFrom="paragraph">
                <wp:posOffset>249325</wp:posOffset>
              </wp:positionV>
              <wp:extent cx="1974273" cy="678873"/>
              <wp:effectExtent l="0" t="0" r="0" b="0"/>
              <wp:wrapNone/>
              <wp:docPr id="141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273" cy="678873"/>
                      </a:xfrm>
                      <a:prstGeom prst="rect">
                        <a:avLst/>
                      </a:prstGeom>
                      <a:noFill/>
                      <a:ln>
                        <a:noFill/>
                      </a:ln>
                    </pic:spPr>
                  </pic:pic>
                </a:graphicData>
              </a:graphic>
            </wp:anchor>
          </w:drawing>
        </w:r>
        <w:r w:rsidRPr="00A639FD">
          <w:rPr>
            <w:rFonts w:ascii="Calibri" w:eastAsia="Calibri" w:hAnsi="Calibri" w:cs="Calibri"/>
            <w:i/>
            <w:sz w:val="22"/>
          </w:rPr>
          <w:t xml:space="preserve">Proiect co-finanţat din ProgramulOperaţional Capital Uman 2014-2020 </w:t>
        </w:r>
      </w:p>
      <w:p w:rsidR="008E32A3" w:rsidRDefault="008E32A3" w:rsidP="008E32A3">
        <w:pPr>
          <w:spacing w:line="259" w:lineRule="auto"/>
          <w:ind w:left="2"/>
          <w:jc w:val="left"/>
        </w:pPr>
      </w:p>
      <w:p w:rsidR="00F20F87" w:rsidRDefault="00314981" w:rsidP="00872345">
        <w:pPr>
          <w:pStyle w:val="Footer"/>
          <w:jc w:val="right"/>
        </w:pPr>
        <w:fldSimple w:instr=" PAGE   \* MERGEFORMAT ">
          <w:r w:rsidR="00872345">
            <w:rPr>
              <w:noProof/>
            </w:rPr>
            <w:t>2</w:t>
          </w:r>
        </w:fldSimple>
      </w:p>
    </w:sdtContent>
  </w:sdt>
  <w:p w:rsidR="00D56167" w:rsidRDefault="00D56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80" w:rsidRDefault="00427480" w:rsidP="00D56167">
      <w:r>
        <w:separator/>
      </w:r>
    </w:p>
  </w:footnote>
  <w:footnote w:type="continuationSeparator" w:id="1">
    <w:p w:rsidR="00427480" w:rsidRDefault="00427480" w:rsidP="00D5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7" w:rsidRDefault="00D56167" w:rsidP="00D56167">
    <w:pPr>
      <w:pStyle w:val="Header"/>
      <w:tabs>
        <w:tab w:val="left" w:pos="4788"/>
      </w:tabs>
      <w:jc w:val="center"/>
    </w:pPr>
    <w:r>
      <w:rPr>
        <w:noProof/>
      </w:rPr>
      <w:drawing>
        <wp:inline distT="0" distB="0" distL="0" distR="0">
          <wp:extent cx="516572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5725" cy="1015365"/>
                  </a:xfrm>
                  <a:prstGeom prst="rect">
                    <a:avLst/>
                  </a:prstGeom>
                  <a:noFill/>
                </pic:spPr>
              </pic:pic>
            </a:graphicData>
          </a:graphic>
        </wp:inline>
      </w:drawing>
    </w:r>
  </w:p>
  <w:p w:rsidR="00D56167" w:rsidRDefault="00D56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0D20"/>
    <w:multiLevelType w:val="hybridMultilevel"/>
    <w:tmpl w:val="665E836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89B5529"/>
    <w:multiLevelType w:val="hybridMultilevel"/>
    <w:tmpl w:val="ABCE8F7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D56167"/>
    <w:rsid w:val="000015C5"/>
    <w:rsid w:val="000122D8"/>
    <w:rsid w:val="00052098"/>
    <w:rsid w:val="00084906"/>
    <w:rsid w:val="000F7FF4"/>
    <w:rsid w:val="0022450B"/>
    <w:rsid w:val="00270631"/>
    <w:rsid w:val="00286E60"/>
    <w:rsid w:val="002A3954"/>
    <w:rsid w:val="002C4C66"/>
    <w:rsid w:val="002F69F6"/>
    <w:rsid w:val="00312CFD"/>
    <w:rsid w:val="00314981"/>
    <w:rsid w:val="00325C25"/>
    <w:rsid w:val="00427480"/>
    <w:rsid w:val="00463FE4"/>
    <w:rsid w:val="00474700"/>
    <w:rsid w:val="0048449E"/>
    <w:rsid w:val="004A4ABB"/>
    <w:rsid w:val="004B683B"/>
    <w:rsid w:val="00552A1B"/>
    <w:rsid w:val="005A5E45"/>
    <w:rsid w:val="0062108E"/>
    <w:rsid w:val="00672CAB"/>
    <w:rsid w:val="006C45B9"/>
    <w:rsid w:val="00727492"/>
    <w:rsid w:val="00772D5D"/>
    <w:rsid w:val="00782013"/>
    <w:rsid w:val="00872345"/>
    <w:rsid w:val="00896448"/>
    <w:rsid w:val="008D5C33"/>
    <w:rsid w:val="008E32A3"/>
    <w:rsid w:val="00917764"/>
    <w:rsid w:val="00917D4F"/>
    <w:rsid w:val="00932D6A"/>
    <w:rsid w:val="00933A25"/>
    <w:rsid w:val="009C4721"/>
    <w:rsid w:val="009F251C"/>
    <w:rsid w:val="009F7720"/>
    <w:rsid w:val="00A82B62"/>
    <w:rsid w:val="00B86C3B"/>
    <w:rsid w:val="00C11A62"/>
    <w:rsid w:val="00C31AD4"/>
    <w:rsid w:val="00C5556D"/>
    <w:rsid w:val="00C92F03"/>
    <w:rsid w:val="00CA77A5"/>
    <w:rsid w:val="00D56167"/>
    <w:rsid w:val="00DE5541"/>
    <w:rsid w:val="00EC6BF5"/>
    <w:rsid w:val="00F20F87"/>
    <w:rsid w:val="00F34C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167"/>
    <w:pPr>
      <w:tabs>
        <w:tab w:val="center" w:pos="4513"/>
        <w:tab w:val="right" w:pos="9026"/>
      </w:tabs>
    </w:pPr>
  </w:style>
  <w:style w:type="character" w:customStyle="1" w:styleId="HeaderChar">
    <w:name w:val="Header Char"/>
    <w:basedOn w:val="DefaultParagraphFont"/>
    <w:link w:val="Header"/>
    <w:uiPriority w:val="99"/>
    <w:semiHidden/>
    <w:rsid w:val="00D56167"/>
  </w:style>
  <w:style w:type="paragraph" w:styleId="Footer">
    <w:name w:val="footer"/>
    <w:basedOn w:val="Normal"/>
    <w:link w:val="FooterChar"/>
    <w:uiPriority w:val="99"/>
    <w:unhideWhenUsed/>
    <w:rsid w:val="00D56167"/>
    <w:pPr>
      <w:tabs>
        <w:tab w:val="center" w:pos="4513"/>
        <w:tab w:val="right" w:pos="9026"/>
      </w:tabs>
    </w:pPr>
  </w:style>
  <w:style w:type="character" w:customStyle="1" w:styleId="FooterChar">
    <w:name w:val="Footer Char"/>
    <w:basedOn w:val="DefaultParagraphFont"/>
    <w:link w:val="Footer"/>
    <w:uiPriority w:val="99"/>
    <w:rsid w:val="00D56167"/>
  </w:style>
  <w:style w:type="paragraph" w:styleId="BalloonText">
    <w:name w:val="Balloon Text"/>
    <w:basedOn w:val="Normal"/>
    <w:link w:val="BalloonTextChar"/>
    <w:uiPriority w:val="99"/>
    <w:semiHidden/>
    <w:unhideWhenUsed/>
    <w:rsid w:val="00D56167"/>
    <w:rPr>
      <w:rFonts w:ascii="Tahoma" w:hAnsi="Tahoma" w:cs="Tahoma"/>
      <w:sz w:val="16"/>
      <w:szCs w:val="16"/>
    </w:rPr>
  </w:style>
  <w:style w:type="character" w:customStyle="1" w:styleId="BalloonTextChar">
    <w:name w:val="Balloon Text Char"/>
    <w:basedOn w:val="DefaultParagraphFont"/>
    <w:link w:val="BalloonText"/>
    <w:uiPriority w:val="99"/>
    <w:semiHidden/>
    <w:rsid w:val="00D56167"/>
    <w:rPr>
      <w:rFonts w:ascii="Tahoma" w:hAnsi="Tahoma" w:cs="Tahoma"/>
      <w:sz w:val="16"/>
      <w:szCs w:val="16"/>
    </w:rPr>
  </w:style>
  <w:style w:type="paragraph" w:styleId="ListParagraph">
    <w:name w:val="List Paragraph"/>
    <w:basedOn w:val="Normal"/>
    <w:uiPriority w:val="34"/>
    <w:qFormat/>
    <w:rsid w:val="00C11A62"/>
    <w:pPr>
      <w:ind w:left="720"/>
      <w:contextualSpacing/>
    </w:pPr>
  </w:style>
</w:styles>
</file>

<file path=word/webSettings.xml><?xml version="1.0" encoding="utf-8"?>
<w:webSettings xmlns:r="http://schemas.openxmlformats.org/officeDocument/2006/relationships" xmlns:w="http://schemas.openxmlformats.org/wordprocessingml/2006/main">
  <w:divs>
    <w:div w:id="127095966">
      <w:bodyDiv w:val="1"/>
      <w:marLeft w:val="0"/>
      <w:marRight w:val="0"/>
      <w:marTop w:val="0"/>
      <w:marBottom w:val="0"/>
      <w:divBdr>
        <w:top w:val="none" w:sz="0" w:space="0" w:color="auto"/>
        <w:left w:val="none" w:sz="0" w:space="0" w:color="auto"/>
        <w:bottom w:val="none" w:sz="0" w:space="0" w:color="auto"/>
        <w:right w:val="none" w:sz="0" w:space="0" w:color="auto"/>
      </w:divBdr>
    </w:div>
    <w:div w:id="558320811">
      <w:bodyDiv w:val="1"/>
      <w:marLeft w:val="0"/>
      <w:marRight w:val="0"/>
      <w:marTop w:val="0"/>
      <w:marBottom w:val="0"/>
      <w:divBdr>
        <w:top w:val="none" w:sz="0" w:space="0" w:color="auto"/>
        <w:left w:val="none" w:sz="0" w:space="0" w:color="auto"/>
        <w:bottom w:val="none" w:sz="0" w:space="0" w:color="auto"/>
        <w:right w:val="none" w:sz="0" w:space="0" w:color="auto"/>
      </w:divBdr>
    </w:div>
    <w:div w:id="593053797">
      <w:bodyDiv w:val="1"/>
      <w:marLeft w:val="0"/>
      <w:marRight w:val="0"/>
      <w:marTop w:val="0"/>
      <w:marBottom w:val="0"/>
      <w:divBdr>
        <w:top w:val="none" w:sz="0" w:space="0" w:color="auto"/>
        <w:left w:val="none" w:sz="0" w:space="0" w:color="auto"/>
        <w:bottom w:val="none" w:sz="0" w:space="0" w:color="auto"/>
        <w:right w:val="none" w:sz="0" w:space="0" w:color="auto"/>
      </w:divBdr>
    </w:div>
    <w:div w:id="616645514">
      <w:bodyDiv w:val="1"/>
      <w:marLeft w:val="0"/>
      <w:marRight w:val="0"/>
      <w:marTop w:val="0"/>
      <w:marBottom w:val="0"/>
      <w:divBdr>
        <w:top w:val="none" w:sz="0" w:space="0" w:color="auto"/>
        <w:left w:val="none" w:sz="0" w:space="0" w:color="auto"/>
        <w:bottom w:val="none" w:sz="0" w:space="0" w:color="auto"/>
        <w:right w:val="none" w:sz="0" w:space="0" w:color="auto"/>
      </w:divBdr>
    </w:div>
    <w:div w:id="627123649">
      <w:bodyDiv w:val="1"/>
      <w:marLeft w:val="0"/>
      <w:marRight w:val="0"/>
      <w:marTop w:val="0"/>
      <w:marBottom w:val="0"/>
      <w:divBdr>
        <w:top w:val="none" w:sz="0" w:space="0" w:color="auto"/>
        <w:left w:val="none" w:sz="0" w:space="0" w:color="auto"/>
        <w:bottom w:val="none" w:sz="0" w:space="0" w:color="auto"/>
        <w:right w:val="none" w:sz="0" w:space="0" w:color="auto"/>
      </w:divBdr>
    </w:div>
    <w:div w:id="728309939">
      <w:bodyDiv w:val="1"/>
      <w:marLeft w:val="0"/>
      <w:marRight w:val="0"/>
      <w:marTop w:val="0"/>
      <w:marBottom w:val="0"/>
      <w:divBdr>
        <w:top w:val="none" w:sz="0" w:space="0" w:color="auto"/>
        <w:left w:val="none" w:sz="0" w:space="0" w:color="auto"/>
        <w:bottom w:val="none" w:sz="0" w:space="0" w:color="auto"/>
        <w:right w:val="none" w:sz="0" w:space="0" w:color="auto"/>
      </w:divBdr>
    </w:div>
    <w:div w:id="745959132">
      <w:bodyDiv w:val="1"/>
      <w:marLeft w:val="0"/>
      <w:marRight w:val="0"/>
      <w:marTop w:val="0"/>
      <w:marBottom w:val="0"/>
      <w:divBdr>
        <w:top w:val="none" w:sz="0" w:space="0" w:color="auto"/>
        <w:left w:val="none" w:sz="0" w:space="0" w:color="auto"/>
        <w:bottom w:val="none" w:sz="0" w:space="0" w:color="auto"/>
        <w:right w:val="none" w:sz="0" w:space="0" w:color="auto"/>
      </w:divBdr>
    </w:div>
    <w:div w:id="875581152">
      <w:bodyDiv w:val="1"/>
      <w:marLeft w:val="0"/>
      <w:marRight w:val="0"/>
      <w:marTop w:val="0"/>
      <w:marBottom w:val="0"/>
      <w:divBdr>
        <w:top w:val="none" w:sz="0" w:space="0" w:color="auto"/>
        <w:left w:val="none" w:sz="0" w:space="0" w:color="auto"/>
        <w:bottom w:val="none" w:sz="0" w:space="0" w:color="auto"/>
        <w:right w:val="none" w:sz="0" w:space="0" w:color="auto"/>
      </w:divBdr>
    </w:div>
    <w:div w:id="1515730359">
      <w:bodyDiv w:val="1"/>
      <w:marLeft w:val="0"/>
      <w:marRight w:val="0"/>
      <w:marTop w:val="0"/>
      <w:marBottom w:val="0"/>
      <w:divBdr>
        <w:top w:val="none" w:sz="0" w:space="0" w:color="auto"/>
        <w:left w:val="none" w:sz="0" w:space="0" w:color="auto"/>
        <w:bottom w:val="none" w:sz="0" w:space="0" w:color="auto"/>
        <w:right w:val="none" w:sz="0" w:space="0" w:color="auto"/>
      </w:divBdr>
    </w:div>
    <w:div w:id="1753429311">
      <w:bodyDiv w:val="1"/>
      <w:marLeft w:val="0"/>
      <w:marRight w:val="0"/>
      <w:marTop w:val="0"/>
      <w:marBottom w:val="0"/>
      <w:divBdr>
        <w:top w:val="none" w:sz="0" w:space="0" w:color="auto"/>
        <w:left w:val="none" w:sz="0" w:space="0" w:color="auto"/>
        <w:bottom w:val="none" w:sz="0" w:space="0" w:color="auto"/>
        <w:right w:val="none" w:sz="0" w:space="0" w:color="auto"/>
      </w:divBdr>
    </w:div>
    <w:div w:id="1822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1651</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2018-08-06T21:48:00Z</dcterms:created>
  <dcterms:modified xsi:type="dcterms:W3CDTF">2022-03-20T21:42:00Z</dcterms:modified>
</cp:coreProperties>
</file>